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B576F4" w14:textId="727BF022" w:rsidR="00304C5A" w:rsidRPr="003E08B0" w:rsidRDefault="00A360D0" w:rsidP="00DC74CC">
      <w:pPr>
        <w:snapToGrid w:val="0"/>
        <w:spacing w:after="0" w:line="480" w:lineRule="auto"/>
        <w:contextualSpacing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7B832E7" wp14:editId="070160BD">
            <wp:extent cx="5274310" cy="6592570"/>
            <wp:effectExtent l="0" t="0" r="2540" b="0"/>
            <wp:docPr id="20655291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529107" name="图片 206552910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9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16AF3" w14:textId="75BDDD02" w:rsidR="00304C5A" w:rsidRPr="003E08B0" w:rsidRDefault="00304C5A" w:rsidP="00DC74CC">
      <w:pPr>
        <w:snapToGrid w:val="0"/>
        <w:spacing w:after="0" w:line="48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3E08B0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602FE1" w:rsidRPr="003E08B0">
        <w:rPr>
          <w:rFonts w:ascii="Times New Roman" w:hAnsi="Times New Roman" w:cs="Times New Roman"/>
          <w:b/>
          <w:bCs/>
          <w:sz w:val="24"/>
        </w:rPr>
        <w:t>S</w:t>
      </w:r>
      <w:r w:rsidRPr="003E08B0">
        <w:rPr>
          <w:rFonts w:ascii="Times New Roman" w:hAnsi="Times New Roman" w:cs="Times New Roman"/>
          <w:b/>
          <w:bCs/>
          <w:sz w:val="24"/>
        </w:rPr>
        <w:t>1</w:t>
      </w:r>
      <w:r w:rsidRPr="003E08B0">
        <w:rPr>
          <w:rFonts w:ascii="Times New Roman" w:hAnsi="Times New Roman" w:cs="Times New Roman"/>
          <w:sz w:val="24"/>
        </w:rPr>
        <w:t xml:space="preserve"> Consensus clustering of LUAD patients based on the pyrimidine metabolic characteristics. </w:t>
      </w:r>
      <w:r w:rsidR="00FD2C4D" w:rsidRPr="003E08B0">
        <w:rPr>
          <w:rFonts w:ascii="Times New Roman" w:hAnsi="Times New Roman" w:cs="Times New Roman" w:hint="eastAsia"/>
          <w:sz w:val="24"/>
        </w:rPr>
        <w:t>(</w:t>
      </w:r>
      <w:r w:rsidR="00FD2C4D" w:rsidRPr="003E08B0">
        <w:rPr>
          <w:rFonts w:ascii="Times New Roman" w:hAnsi="Times New Roman" w:cs="Times New Roman"/>
          <w:sz w:val="24"/>
        </w:rPr>
        <w:t xml:space="preserve">A-B) The </w:t>
      </w:r>
      <w:proofErr w:type="spellStart"/>
      <w:r w:rsidR="00FD2C4D" w:rsidRPr="003E08B0">
        <w:rPr>
          <w:rFonts w:ascii="Times New Roman" w:hAnsi="Times New Roman" w:cs="Times New Roman"/>
          <w:sz w:val="24"/>
        </w:rPr>
        <w:t>tSNE</w:t>
      </w:r>
      <w:proofErr w:type="spellEnd"/>
      <w:r w:rsidR="00FD2C4D" w:rsidRPr="003E08B0">
        <w:rPr>
          <w:rFonts w:ascii="Times New Roman" w:hAnsi="Times New Roman" w:cs="Times New Roman"/>
          <w:sz w:val="24"/>
        </w:rPr>
        <w:t xml:space="preserve"> plots of different cohorts before and after removal of the batch effect. </w:t>
      </w:r>
      <w:r w:rsidRPr="003E08B0">
        <w:rPr>
          <w:rFonts w:ascii="Times New Roman" w:hAnsi="Times New Roman" w:cs="Times New Roman"/>
          <w:sz w:val="24"/>
        </w:rPr>
        <w:t>(</w:t>
      </w:r>
      <w:r w:rsidR="00FD2C4D" w:rsidRPr="003E08B0">
        <w:rPr>
          <w:rFonts w:ascii="Times New Roman" w:hAnsi="Times New Roman" w:cs="Times New Roman"/>
          <w:sz w:val="24"/>
        </w:rPr>
        <w:t>C</w:t>
      </w:r>
      <w:r w:rsidRPr="003E08B0">
        <w:rPr>
          <w:rFonts w:ascii="Times New Roman" w:hAnsi="Times New Roman" w:cs="Times New Roman"/>
          <w:sz w:val="24"/>
        </w:rPr>
        <w:t>-</w:t>
      </w:r>
      <w:r w:rsidR="00FD2C4D" w:rsidRPr="003E08B0">
        <w:rPr>
          <w:rFonts w:ascii="Times New Roman" w:hAnsi="Times New Roman" w:cs="Times New Roman"/>
          <w:sz w:val="24"/>
        </w:rPr>
        <w:t>J</w:t>
      </w:r>
      <w:r w:rsidRPr="003E08B0">
        <w:rPr>
          <w:rFonts w:ascii="Times New Roman" w:hAnsi="Times New Roman" w:cs="Times New Roman"/>
          <w:sz w:val="24"/>
        </w:rPr>
        <w:t>) Consensus matrixes of LUAD patients for each k (k = 2~9). (</w:t>
      </w:r>
      <w:r w:rsidR="00FD2C4D" w:rsidRPr="003E08B0">
        <w:rPr>
          <w:rFonts w:ascii="Times New Roman" w:hAnsi="Times New Roman" w:cs="Times New Roman"/>
          <w:sz w:val="24"/>
        </w:rPr>
        <w:t>K</w:t>
      </w:r>
      <w:r w:rsidRPr="003E08B0">
        <w:rPr>
          <w:rFonts w:ascii="Times New Roman" w:hAnsi="Times New Roman" w:cs="Times New Roman"/>
          <w:sz w:val="24"/>
        </w:rPr>
        <w:t>) The PAC score for the unsupervised clustering of LUAD patients, k = 2~9.</w:t>
      </w:r>
    </w:p>
    <w:p w14:paraId="0EAB8322" w14:textId="6AA43842" w:rsidR="00304C5A" w:rsidRPr="003E08B0" w:rsidRDefault="00304C5A" w:rsidP="00DC74CC">
      <w:pPr>
        <w:widowControl/>
        <w:snapToGrid w:val="0"/>
        <w:spacing w:after="0" w:line="480" w:lineRule="auto"/>
        <w:contextualSpacing/>
        <w:rPr>
          <w:rFonts w:ascii="Times New Roman" w:hAnsi="Times New Roman" w:cs="Times New Roman"/>
          <w:sz w:val="24"/>
        </w:rPr>
      </w:pPr>
      <w:r w:rsidRPr="003E08B0">
        <w:rPr>
          <w:rFonts w:ascii="Times New Roman" w:hAnsi="Times New Roman" w:cs="Times New Roman"/>
          <w:sz w:val="24"/>
        </w:rPr>
        <w:br w:type="page"/>
      </w:r>
    </w:p>
    <w:p w14:paraId="59F5A477" w14:textId="1E31812E" w:rsidR="00E347B4" w:rsidRPr="003E08B0" w:rsidRDefault="00A360D0" w:rsidP="00DC74CC">
      <w:pPr>
        <w:snapToGrid w:val="0"/>
        <w:spacing w:after="0" w:line="480" w:lineRule="auto"/>
        <w:contextualSpacing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6C358CC9" wp14:editId="4F9AF6F8">
            <wp:extent cx="5274310" cy="4428490"/>
            <wp:effectExtent l="0" t="0" r="2540" b="0"/>
            <wp:docPr id="193487698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876989" name="图片 193487698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2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5EFB0" w14:textId="1EE76353" w:rsidR="00602FE1" w:rsidRPr="003E08B0" w:rsidRDefault="00E347B4" w:rsidP="00DC74CC">
      <w:pPr>
        <w:snapToGrid w:val="0"/>
        <w:spacing w:after="0" w:line="48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3E08B0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602FE1" w:rsidRPr="003E08B0">
        <w:rPr>
          <w:rFonts w:ascii="Times New Roman" w:hAnsi="Times New Roman" w:cs="Times New Roman"/>
          <w:b/>
          <w:bCs/>
          <w:sz w:val="24"/>
        </w:rPr>
        <w:t>S</w:t>
      </w:r>
      <w:r w:rsidRPr="003E08B0">
        <w:rPr>
          <w:rFonts w:ascii="Times New Roman" w:hAnsi="Times New Roman" w:cs="Times New Roman"/>
          <w:b/>
          <w:bCs/>
          <w:sz w:val="24"/>
        </w:rPr>
        <w:t>2</w:t>
      </w:r>
      <w:r w:rsidRPr="003E08B0">
        <w:rPr>
          <w:rFonts w:ascii="Times New Roman" w:hAnsi="Times New Roman" w:cs="Times New Roman"/>
          <w:sz w:val="24"/>
        </w:rPr>
        <w:t xml:space="preserve"> Consensus clustering of LUAD patients based on the prognostic DEGs. (A-H) Consensus matrixes of LUAD patients for each k (k = 2~9). (I) The CDF curve for the unsupervised clustering of LUAD patients, k = 2~9. (J) The PAC score for the unsupervised clustering of LUAD patients, k = 2~9. (K) The </w:t>
      </w:r>
      <w:proofErr w:type="spellStart"/>
      <w:r w:rsidRPr="003E08B0">
        <w:rPr>
          <w:rFonts w:ascii="Times New Roman" w:hAnsi="Times New Roman" w:cs="Times New Roman"/>
          <w:sz w:val="24"/>
        </w:rPr>
        <w:t>tSNE</w:t>
      </w:r>
      <w:proofErr w:type="spellEnd"/>
      <w:r w:rsidRPr="003E08B0">
        <w:rPr>
          <w:rFonts w:ascii="Times New Roman" w:hAnsi="Times New Roman" w:cs="Times New Roman"/>
          <w:sz w:val="24"/>
        </w:rPr>
        <w:t xml:space="preserve"> plot based on the prognostic DEGs.</w:t>
      </w:r>
    </w:p>
    <w:p w14:paraId="5E3477C6" w14:textId="77777777" w:rsidR="00E347B4" w:rsidRPr="003E08B0" w:rsidRDefault="00E347B4" w:rsidP="00DC74CC">
      <w:pPr>
        <w:widowControl/>
        <w:snapToGrid w:val="0"/>
        <w:spacing w:after="0" w:line="480" w:lineRule="auto"/>
        <w:contextualSpacing/>
        <w:rPr>
          <w:rFonts w:ascii="Times New Roman" w:hAnsi="Times New Roman" w:cs="Times New Roman"/>
          <w:sz w:val="24"/>
        </w:rPr>
      </w:pPr>
      <w:r w:rsidRPr="003E08B0">
        <w:rPr>
          <w:rFonts w:ascii="Times New Roman" w:hAnsi="Times New Roman" w:cs="Times New Roman"/>
          <w:sz w:val="24"/>
        </w:rPr>
        <w:br w:type="page"/>
      </w:r>
    </w:p>
    <w:p w14:paraId="04051EC2" w14:textId="475BC1F5" w:rsidR="006B5FDB" w:rsidRPr="003E08B0" w:rsidRDefault="00A360D0" w:rsidP="00DC74CC">
      <w:pPr>
        <w:snapToGrid w:val="0"/>
        <w:spacing w:after="0" w:line="480" w:lineRule="auto"/>
        <w:contextualSpacing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lastRenderedPageBreak/>
        <w:drawing>
          <wp:inline distT="0" distB="0" distL="0" distR="0" wp14:anchorId="262CA407" wp14:editId="0E64E467">
            <wp:extent cx="5274310" cy="7299325"/>
            <wp:effectExtent l="0" t="0" r="2540" b="0"/>
            <wp:docPr id="13417901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790114" name="图片 134179011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9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67005" w14:textId="09440D03" w:rsidR="00964360" w:rsidRDefault="00875633" w:rsidP="00DC74CC">
      <w:pPr>
        <w:snapToGrid w:val="0"/>
        <w:spacing w:after="0" w:line="48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3E08B0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602FE1" w:rsidRPr="003E08B0">
        <w:rPr>
          <w:rFonts w:ascii="Times New Roman" w:hAnsi="Times New Roman" w:cs="Times New Roman"/>
          <w:b/>
          <w:bCs/>
          <w:sz w:val="24"/>
        </w:rPr>
        <w:t>S</w:t>
      </w:r>
      <w:r w:rsidRPr="003E08B0">
        <w:rPr>
          <w:rFonts w:ascii="Times New Roman" w:hAnsi="Times New Roman" w:cs="Times New Roman"/>
          <w:b/>
          <w:bCs/>
          <w:sz w:val="24"/>
        </w:rPr>
        <w:t>3</w:t>
      </w:r>
      <w:r w:rsidRPr="003E08B0">
        <w:rPr>
          <w:rFonts w:ascii="Times New Roman" w:hAnsi="Times New Roman" w:cs="Times New Roman"/>
          <w:sz w:val="24"/>
        </w:rPr>
        <w:t xml:space="preserve"> Multivariate Cox regression of</w:t>
      </w:r>
      <w:r w:rsidR="00C47139" w:rsidRPr="003E08B0">
        <w:rPr>
          <w:rFonts w:ascii="Times New Roman" w:hAnsi="Times New Roman" w:cs="Times New Roman"/>
          <w:sz w:val="24"/>
        </w:rPr>
        <w:t xml:space="preserve"> the</w:t>
      </w:r>
      <w:r w:rsidRPr="003E08B0">
        <w:rPr>
          <w:rFonts w:ascii="Times New Roman" w:hAnsi="Times New Roman" w:cs="Times New Roman"/>
          <w:sz w:val="24"/>
        </w:rPr>
        <w:t xml:space="preserve"> PMRS</w:t>
      </w:r>
      <w:r w:rsidR="00C47139" w:rsidRPr="003E08B0">
        <w:rPr>
          <w:rFonts w:ascii="Times New Roman" w:hAnsi="Times New Roman" w:cs="Times New Roman"/>
          <w:sz w:val="24"/>
        </w:rPr>
        <w:t xml:space="preserve"> model</w:t>
      </w:r>
      <w:r w:rsidRPr="003E08B0">
        <w:rPr>
          <w:rFonts w:ascii="Times New Roman" w:hAnsi="Times New Roman" w:cs="Times New Roman"/>
          <w:sz w:val="24"/>
        </w:rPr>
        <w:t>. (A-D) Multivariate Cox regression</w:t>
      </w:r>
      <w:r w:rsidR="0054345C" w:rsidRPr="003E08B0">
        <w:rPr>
          <w:rFonts w:ascii="Times New Roman" w:hAnsi="Times New Roman" w:cs="Times New Roman"/>
          <w:sz w:val="24"/>
        </w:rPr>
        <w:t xml:space="preserve"> </w:t>
      </w:r>
      <w:r w:rsidRPr="003E08B0">
        <w:rPr>
          <w:rFonts w:ascii="Times New Roman" w:hAnsi="Times New Roman" w:cs="Times New Roman"/>
          <w:sz w:val="24"/>
        </w:rPr>
        <w:t>of PMRS</w:t>
      </w:r>
      <w:r w:rsidR="00C47139" w:rsidRPr="003E08B0">
        <w:rPr>
          <w:rFonts w:ascii="Times New Roman" w:hAnsi="Times New Roman" w:cs="Times New Roman"/>
          <w:sz w:val="24"/>
        </w:rPr>
        <w:t xml:space="preserve"> scores</w:t>
      </w:r>
      <w:r w:rsidRPr="003E08B0">
        <w:rPr>
          <w:rFonts w:ascii="Times New Roman" w:hAnsi="Times New Roman" w:cs="Times New Roman"/>
          <w:sz w:val="24"/>
        </w:rPr>
        <w:t xml:space="preserve"> </w:t>
      </w:r>
      <w:r w:rsidR="0054345C" w:rsidRPr="003E08B0">
        <w:rPr>
          <w:rFonts w:ascii="Times New Roman" w:hAnsi="Times New Roman" w:cs="Times New Roman"/>
          <w:sz w:val="24"/>
        </w:rPr>
        <w:t xml:space="preserve">and related clinical factors </w:t>
      </w:r>
      <w:r w:rsidRPr="003E08B0">
        <w:rPr>
          <w:rFonts w:ascii="Times New Roman" w:hAnsi="Times New Roman" w:cs="Times New Roman"/>
          <w:sz w:val="24"/>
        </w:rPr>
        <w:t xml:space="preserve">in TCGA, GSE42127, GSE68465 and GSE72094. </w:t>
      </w:r>
      <w:r w:rsidR="00EF588F" w:rsidRPr="003E08B0">
        <w:rPr>
          <w:rFonts w:ascii="Times New Roman" w:hAnsi="Times New Roman" w:cs="Times New Roman"/>
          <w:sz w:val="24"/>
        </w:rPr>
        <w:t xml:space="preserve">Data are presented as mean ± 95% confidence interval [CI]. </w:t>
      </w:r>
    </w:p>
    <w:p w14:paraId="12B3F380" w14:textId="77777777" w:rsidR="00964360" w:rsidRDefault="00964360" w:rsidP="00DC74CC">
      <w:pPr>
        <w:widowControl/>
        <w:snapToGrid w:val="0"/>
        <w:spacing w:after="0" w:line="480" w:lineRule="auto"/>
        <w:contextualSpacing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3FE49644" w14:textId="3EEF98EE" w:rsidR="00CC5C2E" w:rsidRPr="00F03BBB" w:rsidRDefault="00A360D0" w:rsidP="00CC5C2E">
      <w:pPr>
        <w:spacing w:after="0" w:line="360" w:lineRule="auto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lastRenderedPageBreak/>
        <w:drawing>
          <wp:inline distT="0" distB="0" distL="0" distR="0" wp14:anchorId="08CAAF44" wp14:editId="2514148B">
            <wp:extent cx="5274310" cy="2660650"/>
            <wp:effectExtent l="0" t="0" r="2540" b="6350"/>
            <wp:docPr id="92135978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359789" name="图片 92135978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57FED" w14:textId="53B2B117" w:rsidR="00CC5C2E" w:rsidRDefault="00CC5C2E" w:rsidP="00CC5C2E">
      <w:pPr>
        <w:snapToGrid w:val="0"/>
        <w:spacing w:after="0" w:line="48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E01AF3">
        <w:rPr>
          <w:rFonts w:ascii="Times New Roman" w:hAnsi="Times New Roman" w:cs="Times New Roman"/>
          <w:b/>
          <w:bCs/>
          <w:sz w:val="24"/>
        </w:rPr>
        <w:t xml:space="preserve">Figure </w:t>
      </w:r>
      <w:r>
        <w:rPr>
          <w:rFonts w:ascii="Times New Roman" w:hAnsi="Times New Roman" w:cs="Times New Roman"/>
          <w:b/>
          <w:bCs/>
          <w:sz w:val="24"/>
        </w:rPr>
        <w:t>S4</w:t>
      </w:r>
      <w:r w:rsidRPr="00E01AF3">
        <w:rPr>
          <w:rFonts w:ascii="Times New Roman" w:hAnsi="Times New Roman" w:cs="Times New Roman"/>
          <w:b/>
          <w:bCs/>
          <w:sz w:val="24"/>
        </w:rPr>
        <w:t xml:space="preserve"> </w:t>
      </w:r>
      <w:r w:rsidRPr="00E01AF3">
        <w:rPr>
          <w:rFonts w:ascii="Times New Roman" w:hAnsi="Times New Roman" w:cs="Times New Roman"/>
          <w:sz w:val="24"/>
        </w:rPr>
        <w:t xml:space="preserve">Analysis of the immune microenvironment between PMRS subgroups in all cohorts. (A) </w:t>
      </w:r>
      <w:r w:rsidRPr="00E01AF3">
        <w:rPr>
          <w:rFonts w:ascii="Times New Roman" w:hAnsi="Times New Roman" w:cs="Times New Roman" w:hint="eastAsia"/>
          <w:sz w:val="24"/>
        </w:rPr>
        <w:t>T</w:t>
      </w:r>
      <w:r w:rsidRPr="00E01AF3">
        <w:rPr>
          <w:rFonts w:ascii="Times New Roman" w:hAnsi="Times New Roman" w:cs="Times New Roman"/>
          <w:sz w:val="24"/>
        </w:rPr>
        <w:t xml:space="preserve">he immune landscape between PMRS subgroups across LUAD cohorts was depicted by diverse immune infiltration algorithms, including ESTIMATE, TIMER, CIBERSORT, </w:t>
      </w:r>
      <w:proofErr w:type="spellStart"/>
      <w:r w:rsidRPr="00E01AF3">
        <w:rPr>
          <w:rFonts w:ascii="Times New Roman" w:hAnsi="Times New Roman" w:cs="Times New Roman"/>
          <w:sz w:val="24"/>
        </w:rPr>
        <w:t>MCPcounter</w:t>
      </w:r>
      <w:proofErr w:type="spellEnd"/>
      <w:r w:rsidRPr="00E01AF3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E01AF3">
        <w:rPr>
          <w:rFonts w:ascii="Times New Roman" w:hAnsi="Times New Roman" w:cs="Times New Roman"/>
          <w:sz w:val="24"/>
        </w:rPr>
        <w:t>xCell</w:t>
      </w:r>
      <w:proofErr w:type="spellEnd"/>
      <w:r w:rsidRPr="00E01AF3">
        <w:rPr>
          <w:rFonts w:ascii="Times New Roman" w:hAnsi="Times New Roman" w:cs="Times New Roman"/>
          <w:sz w:val="24"/>
        </w:rPr>
        <w:t>, and EPIC. (B-C) The infiltration of monocytes and mast cells was significantly reduced in the PMRS-high subgroup.</w:t>
      </w:r>
    </w:p>
    <w:p w14:paraId="4592FC0F" w14:textId="77777777" w:rsidR="00CC5C2E" w:rsidRDefault="00CC5C2E">
      <w:pPr>
        <w:widowControl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66F57941" w14:textId="4D26EA0F" w:rsidR="0054345C" w:rsidRPr="003E08B0" w:rsidRDefault="00A360D0" w:rsidP="00A360D0">
      <w:pPr>
        <w:snapToGrid w:val="0"/>
        <w:spacing w:after="0" w:line="480" w:lineRule="auto"/>
        <w:contextualSpacing/>
        <w:jc w:val="both"/>
        <w:rPr>
          <w:rFonts w:ascii="Times New Roman" w:hAnsi="Times New Roman" w:cs="Times New Roman" w:hint="eastAsia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603A9B59" wp14:editId="372F1A63">
            <wp:extent cx="5274310" cy="3475355"/>
            <wp:effectExtent l="0" t="0" r="2540" b="0"/>
            <wp:docPr id="16412975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29752" name="图片 16412975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E4F67" w14:textId="115B4125" w:rsidR="00932A39" w:rsidRPr="003E08B0" w:rsidRDefault="0054345C" w:rsidP="00DC74CC">
      <w:pPr>
        <w:snapToGrid w:val="0"/>
        <w:spacing w:after="0" w:line="48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3E08B0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602FE1" w:rsidRPr="003E08B0">
        <w:rPr>
          <w:rFonts w:ascii="Times New Roman" w:hAnsi="Times New Roman" w:cs="Times New Roman"/>
          <w:b/>
          <w:bCs/>
          <w:sz w:val="24"/>
        </w:rPr>
        <w:t>S</w:t>
      </w:r>
      <w:r w:rsidR="00CC5C2E">
        <w:rPr>
          <w:rFonts w:ascii="Times New Roman" w:hAnsi="Times New Roman" w:cs="Times New Roman"/>
          <w:b/>
          <w:bCs/>
          <w:sz w:val="24"/>
        </w:rPr>
        <w:t>5</w:t>
      </w:r>
      <w:r w:rsidR="00700B97" w:rsidRPr="003E08B0">
        <w:rPr>
          <w:rFonts w:ascii="Times New Roman" w:hAnsi="Times New Roman" w:cs="Times New Roman"/>
          <w:sz w:val="24"/>
        </w:rPr>
        <w:t xml:space="preserve"> </w:t>
      </w:r>
      <w:r w:rsidR="00932A39" w:rsidRPr="003E08B0">
        <w:rPr>
          <w:rFonts w:ascii="Times New Roman" w:hAnsi="Times New Roman" w:cs="Times New Roman"/>
          <w:sz w:val="24"/>
        </w:rPr>
        <w:t xml:space="preserve">Exploration of LUAD scRNA-seq data. </w:t>
      </w:r>
      <w:r w:rsidR="00932A39" w:rsidRPr="003E08B0">
        <w:rPr>
          <w:rFonts w:ascii="Times New Roman" w:hAnsi="Times New Roman" w:cs="Times New Roman" w:hint="eastAsia"/>
          <w:sz w:val="24"/>
        </w:rPr>
        <w:t>(</w:t>
      </w:r>
      <w:r w:rsidR="00932A39" w:rsidRPr="003E08B0">
        <w:rPr>
          <w:rFonts w:ascii="Times New Roman" w:hAnsi="Times New Roman" w:cs="Times New Roman"/>
          <w:sz w:val="24"/>
        </w:rPr>
        <w:t xml:space="preserve">A) </w:t>
      </w:r>
      <w:r w:rsidR="00A67652" w:rsidRPr="003E08B0">
        <w:rPr>
          <w:rFonts w:ascii="Times New Roman" w:hAnsi="Times New Roman" w:cs="Times New Roman"/>
          <w:sz w:val="24"/>
        </w:rPr>
        <w:t xml:space="preserve">A </w:t>
      </w:r>
      <w:proofErr w:type="spellStart"/>
      <w:r w:rsidR="00932A39" w:rsidRPr="003E08B0">
        <w:rPr>
          <w:rFonts w:ascii="Times New Roman" w:hAnsi="Times New Roman" w:cs="Times New Roman"/>
          <w:sz w:val="24"/>
        </w:rPr>
        <w:t>tSNE</w:t>
      </w:r>
      <w:proofErr w:type="spellEnd"/>
      <w:r w:rsidR="00932A39" w:rsidRPr="003E08B0">
        <w:rPr>
          <w:rFonts w:ascii="Times New Roman" w:hAnsi="Times New Roman" w:cs="Times New Roman"/>
          <w:sz w:val="24"/>
        </w:rPr>
        <w:t xml:space="preserve"> plot colored by 16 different clusters. </w:t>
      </w:r>
      <w:r w:rsidR="002F5F56" w:rsidRPr="003E08B0">
        <w:rPr>
          <w:rFonts w:ascii="Times New Roman" w:hAnsi="Times New Roman" w:cs="Times New Roman"/>
          <w:sz w:val="24"/>
        </w:rPr>
        <w:t xml:space="preserve">(B) </w:t>
      </w:r>
      <w:r w:rsidR="00CD5779" w:rsidRPr="003E08B0">
        <w:rPr>
          <w:rFonts w:ascii="Times New Roman" w:hAnsi="Times New Roman" w:cs="Times New Roman"/>
          <w:sz w:val="24"/>
        </w:rPr>
        <w:t>Marker genes for different cell sub</w:t>
      </w:r>
      <w:r w:rsidR="00CD5779" w:rsidRPr="003E08B0">
        <w:rPr>
          <w:rFonts w:ascii="Times New Roman" w:hAnsi="Times New Roman" w:cs="Times New Roman" w:hint="eastAsia"/>
          <w:sz w:val="24"/>
        </w:rPr>
        <w:t>type</w:t>
      </w:r>
      <w:r w:rsidR="00CD5779" w:rsidRPr="003E08B0">
        <w:rPr>
          <w:rFonts w:ascii="Times New Roman" w:hAnsi="Times New Roman" w:cs="Times New Roman"/>
          <w:sz w:val="24"/>
        </w:rPr>
        <w:t>s</w:t>
      </w:r>
      <w:r w:rsidR="00CD5779" w:rsidRPr="003E08B0">
        <w:rPr>
          <w:rFonts w:ascii="Times New Roman" w:hAnsi="Times New Roman" w:cs="Times New Roman" w:hint="eastAsia"/>
          <w:sz w:val="24"/>
        </w:rPr>
        <w:t>.</w:t>
      </w:r>
      <w:r w:rsidR="00CD5779" w:rsidRPr="003E08B0">
        <w:rPr>
          <w:rFonts w:ascii="Times New Roman" w:hAnsi="Times New Roman" w:cs="Times New Roman"/>
          <w:sz w:val="24"/>
        </w:rPr>
        <w:t xml:space="preserve"> </w:t>
      </w:r>
      <w:r w:rsidR="00CD5779" w:rsidRPr="003E08B0">
        <w:rPr>
          <w:rFonts w:ascii="Times New Roman" w:hAnsi="Times New Roman" w:cs="Times New Roman" w:hint="eastAsia"/>
          <w:sz w:val="24"/>
        </w:rPr>
        <w:t>(</w:t>
      </w:r>
      <w:r w:rsidR="00CD5779" w:rsidRPr="003E08B0">
        <w:rPr>
          <w:rFonts w:ascii="Times New Roman" w:hAnsi="Times New Roman" w:cs="Times New Roman"/>
          <w:sz w:val="24"/>
        </w:rPr>
        <w:t xml:space="preserve">C) The PMRS scores across all cell subtypes. </w:t>
      </w:r>
      <w:r w:rsidR="00932A39" w:rsidRPr="003E08B0">
        <w:rPr>
          <w:rFonts w:ascii="Times New Roman" w:hAnsi="Times New Roman" w:cs="Times New Roman"/>
          <w:sz w:val="24"/>
        </w:rPr>
        <w:t>(</w:t>
      </w:r>
      <w:r w:rsidR="002F5F56" w:rsidRPr="003E08B0">
        <w:rPr>
          <w:rFonts w:ascii="Times New Roman" w:hAnsi="Times New Roman" w:cs="Times New Roman"/>
          <w:sz w:val="24"/>
        </w:rPr>
        <w:t>D</w:t>
      </w:r>
      <w:r w:rsidR="00932A39" w:rsidRPr="003E08B0">
        <w:rPr>
          <w:rFonts w:ascii="Times New Roman" w:hAnsi="Times New Roman" w:cs="Times New Roman"/>
          <w:sz w:val="24"/>
        </w:rPr>
        <w:t xml:space="preserve">) Malignant cells were </w:t>
      </w:r>
      <w:r w:rsidR="00CD5779" w:rsidRPr="003E08B0">
        <w:rPr>
          <w:rFonts w:ascii="Times New Roman" w:hAnsi="Times New Roman" w:cs="Times New Roman"/>
          <w:sz w:val="24"/>
        </w:rPr>
        <w:t>divided</w:t>
      </w:r>
      <w:r w:rsidR="00932A39" w:rsidRPr="003E08B0">
        <w:rPr>
          <w:rFonts w:ascii="Times New Roman" w:hAnsi="Times New Roman" w:cs="Times New Roman"/>
          <w:sz w:val="24"/>
        </w:rPr>
        <w:t xml:space="preserve"> from</w:t>
      </w:r>
      <w:r w:rsidR="00CD5779" w:rsidRPr="003E08B0">
        <w:rPr>
          <w:rFonts w:ascii="Times New Roman" w:hAnsi="Times New Roman" w:cs="Times New Roman"/>
          <w:sz w:val="24"/>
        </w:rPr>
        <w:t xml:space="preserve"> </w:t>
      </w:r>
      <w:r w:rsidR="00932A39" w:rsidRPr="003E08B0">
        <w:rPr>
          <w:rFonts w:ascii="Times New Roman" w:hAnsi="Times New Roman" w:cs="Times New Roman"/>
          <w:sz w:val="24"/>
        </w:rPr>
        <w:t xml:space="preserve">epithelial cells by inferring large-scale CNVs with the references of macrophages and monocytes. </w:t>
      </w:r>
    </w:p>
    <w:p w14:paraId="525344C0" w14:textId="269BC18B" w:rsidR="00E347B4" w:rsidRPr="00CC5C2E" w:rsidRDefault="00E347B4" w:rsidP="00CC5C2E">
      <w:pPr>
        <w:widowControl/>
        <w:rPr>
          <w:rFonts w:ascii="Times New Roman" w:hAnsi="Times New Roman" w:cs="Times New Roman"/>
          <w:sz w:val="18"/>
          <w:szCs w:val="18"/>
        </w:rPr>
      </w:pPr>
    </w:p>
    <w:sectPr w:rsidR="00E347B4" w:rsidRPr="00CC5C2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F2A23F" w14:textId="77777777" w:rsidR="00CA77D2" w:rsidRDefault="00CA77D2" w:rsidP="00960DC0">
      <w:pPr>
        <w:spacing w:after="0" w:line="240" w:lineRule="auto"/>
      </w:pPr>
      <w:r>
        <w:separator/>
      </w:r>
    </w:p>
  </w:endnote>
  <w:endnote w:type="continuationSeparator" w:id="0">
    <w:p w14:paraId="0861E763" w14:textId="77777777" w:rsidR="00CA77D2" w:rsidRDefault="00CA77D2" w:rsidP="00960D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B946C6" w14:textId="77777777" w:rsidR="00CA77D2" w:rsidRDefault="00CA77D2" w:rsidP="00960DC0">
      <w:pPr>
        <w:spacing w:after="0" w:line="240" w:lineRule="auto"/>
      </w:pPr>
      <w:r>
        <w:separator/>
      </w:r>
    </w:p>
  </w:footnote>
  <w:footnote w:type="continuationSeparator" w:id="0">
    <w:p w14:paraId="0B2E7290" w14:textId="77777777" w:rsidR="00CA77D2" w:rsidRDefault="00CA77D2" w:rsidP="00960D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76E3CA8"/>
    <w:multiLevelType w:val="multilevel"/>
    <w:tmpl w:val="AFAE20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0" w:hanging="4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5766731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1ED2"/>
    <w:rsid w:val="00002137"/>
    <w:rsid w:val="000271A5"/>
    <w:rsid w:val="000B1894"/>
    <w:rsid w:val="000B3562"/>
    <w:rsid w:val="000D1DEF"/>
    <w:rsid w:val="000E0322"/>
    <w:rsid w:val="00113B6A"/>
    <w:rsid w:val="0013230F"/>
    <w:rsid w:val="00136107"/>
    <w:rsid w:val="001734D0"/>
    <w:rsid w:val="001B49CC"/>
    <w:rsid w:val="001D4490"/>
    <w:rsid w:val="001F6930"/>
    <w:rsid w:val="00216B99"/>
    <w:rsid w:val="0023255F"/>
    <w:rsid w:val="00232D30"/>
    <w:rsid w:val="00261C4B"/>
    <w:rsid w:val="00263087"/>
    <w:rsid w:val="0028786D"/>
    <w:rsid w:val="00291124"/>
    <w:rsid w:val="002C4BC7"/>
    <w:rsid w:val="002D6133"/>
    <w:rsid w:val="002F5F56"/>
    <w:rsid w:val="00304C5A"/>
    <w:rsid w:val="003B4E7D"/>
    <w:rsid w:val="003C13AC"/>
    <w:rsid w:val="003D1104"/>
    <w:rsid w:val="003D5B73"/>
    <w:rsid w:val="003D7C6F"/>
    <w:rsid w:val="003E08B0"/>
    <w:rsid w:val="00424D17"/>
    <w:rsid w:val="00426AB0"/>
    <w:rsid w:val="0044476A"/>
    <w:rsid w:val="00461ED2"/>
    <w:rsid w:val="00471B1E"/>
    <w:rsid w:val="00473C21"/>
    <w:rsid w:val="00473FDA"/>
    <w:rsid w:val="00483F3B"/>
    <w:rsid w:val="004B5225"/>
    <w:rsid w:val="00500507"/>
    <w:rsid w:val="0054345C"/>
    <w:rsid w:val="00551447"/>
    <w:rsid w:val="005714F1"/>
    <w:rsid w:val="005873F6"/>
    <w:rsid w:val="005C15FC"/>
    <w:rsid w:val="005D7484"/>
    <w:rsid w:val="005F650C"/>
    <w:rsid w:val="0060225B"/>
    <w:rsid w:val="00602FE1"/>
    <w:rsid w:val="006B5FDB"/>
    <w:rsid w:val="006F0A25"/>
    <w:rsid w:val="00700B97"/>
    <w:rsid w:val="0075399C"/>
    <w:rsid w:val="00780EBC"/>
    <w:rsid w:val="007A04A2"/>
    <w:rsid w:val="007F25D8"/>
    <w:rsid w:val="008211C2"/>
    <w:rsid w:val="00826F7F"/>
    <w:rsid w:val="00875633"/>
    <w:rsid w:val="008A3C83"/>
    <w:rsid w:val="0091734A"/>
    <w:rsid w:val="00921C63"/>
    <w:rsid w:val="009263E4"/>
    <w:rsid w:val="00927B0F"/>
    <w:rsid w:val="00932A39"/>
    <w:rsid w:val="00950C4E"/>
    <w:rsid w:val="00960DC0"/>
    <w:rsid w:val="00964360"/>
    <w:rsid w:val="00972740"/>
    <w:rsid w:val="00A3527C"/>
    <w:rsid w:val="00A360D0"/>
    <w:rsid w:val="00A40EED"/>
    <w:rsid w:val="00A61088"/>
    <w:rsid w:val="00A67652"/>
    <w:rsid w:val="00AC0AB9"/>
    <w:rsid w:val="00AD3DFE"/>
    <w:rsid w:val="00B06BB3"/>
    <w:rsid w:val="00B25668"/>
    <w:rsid w:val="00B86F7A"/>
    <w:rsid w:val="00C07971"/>
    <w:rsid w:val="00C13792"/>
    <w:rsid w:val="00C13890"/>
    <w:rsid w:val="00C42D71"/>
    <w:rsid w:val="00C4517A"/>
    <w:rsid w:val="00C47139"/>
    <w:rsid w:val="00C65688"/>
    <w:rsid w:val="00C73FBD"/>
    <w:rsid w:val="00CA0925"/>
    <w:rsid w:val="00CA0F42"/>
    <w:rsid w:val="00CA77D2"/>
    <w:rsid w:val="00CC5C2E"/>
    <w:rsid w:val="00CD5779"/>
    <w:rsid w:val="00CF0B35"/>
    <w:rsid w:val="00D039F3"/>
    <w:rsid w:val="00D35960"/>
    <w:rsid w:val="00DA6E65"/>
    <w:rsid w:val="00DB1A56"/>
    <w:rsid w:val="00DC74CC"/>
    <w:rsid w:val="00DF798B"/>
    <w:rsid w:val="00E01AF3"/>
    <w:rsid w:val="00E347B4"/>
    <w:rsid w:val="00EB5CBD"/>
    <w:rsid w:val="00ED2095"/>
    <w:rsid w:val="00EF588F"/>
    <w:rsid w:val="00F0424F"/>
    <w:rsid w:val="00F43AF3"/>
    <w:rsid w:val="00F87908"/>
    <w:rsid w:val="00F956BF"/>
    <w:rsid w:val="00FA1155"/>
    <w:rsid w:val="00FB39B7"/>
    <w:rsid w:val="00FD2C4D"/>
    <w:rsid w:val="00FD5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8B82BE6"/>
  <w15:chartTrackingRefBased/>
  <w15:docId w15:val="{65FB63ED-729B-4120-9DE9-3536225D4D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461ED2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61ED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61ED2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61ED2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61ED2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61ED2"/>
    <w:pPr>
      <w:keepNext/>
      <w:keepLines/>
      <w:spacing w:before="40" w:after="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61ED2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61ED2"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61ED2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461ED2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461ED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461ED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461ED2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461ED2"/>
    <w:rPr>
      <w:rFonts w:cstheme="majorBidi"/>
      <w:color w:val="0F4761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461ED2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461ED2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461ED2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461ED2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461ED2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461E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61ED2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461ED2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61ED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461ED2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61ED2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61ED2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61ED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461ED2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461ED2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960DC0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960DC0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960DC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960DC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2885</TotalTime>
  <Pages>5</Pages>
  <Words>244</Words>
  <Characters>1392</Characters>
  <Application>Microsoft Office Word</Application>
  <DocSecurity>0</DocSecurity>
  <Lines>11</Lines>
  <Paragraphs>3</Paragraphs>
  <ScaleCrop>false</ScaleCrop>
  <Company/>
  <LinksUpToDate>false</LinksUpToDate>
  <CharactersWithSpaces>1633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tong hu</dc:creator>
  <cp:keywords/>
  <dc:description/>
  <cp:lastModifiedBy>tong hu</cp:lastModifiedBy>
  <cp:revision>39</cp:revision>
  <dcterms:created xsi:type="dcterms:W3CDTF">2024-08-22T03:31:00Z</dcterms:created>
  <dcterms:modified xsi:type="dcterms:W3CDTF">2024-11-25T15:13:00Z</dcterms:modified>
</cp:coreProperties>
</file>